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54"/>
        <w:jc w:val="center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ПРОТОКОЛ №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250398-4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54"/>
        <w:jc w:val="center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67"/>
        <w:ind w:left="0" w:firstLine="0"/>
        <w:jc w:val="center"/>
        <w:spacing w:line="240" w:lineRule="auto"/>
        <w:tabs>
          <w:tab w:val="clear" w:pos="1134" w:leader="none"/>
        </w:tabs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очного заседания Закупочной комиссии по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подведению итогов по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конкурсу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в электронной форме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 на электронной торговой площадке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fldChar w:fldCharType="begin"/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instrText xml:space="preserve"> 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instrText xml:space="preserve">HYPERLINK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instrText xml:space="preserve"> "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instrText xml:space="preserve">https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instrText xml:space="preserve">://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instrText xml:space="preserve">etp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instrText xml:space="preserve">.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instrText xml:space="preserve">rosseti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instrText xml:space="preserve">.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instrText xml:space="preserve">ru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instrText xml:space="preserve">" 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fldChar w:fldCharType="separate"/>
      </w:r>
      <w:r>
        <w:rPr>
          <w:rStyle w:val="962"/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t xml:space="preserve">https</w:t>
      </w:r>
      <w:r>
        <w:rPr>
          <w:rStyle w:val="962"/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://</w:t>
      </w:r>
      <w:r>
        <w:rPr>
          <w:rStyle w:val="962"/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t xml:space="preserve">tender</w:t>
      </w:r>
      <w:r>
        <w:rPr>
          <w:rStyle w:val="962"/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.</w:t>
      </w:r>
      <w:r>
        <w:rPr>
          <w:rStyle w:val="962"/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t xml:space="preserve">lot</w:t>
      </w:r>
      <w:r>
        <w:rPr>
          <w:rStyle w:val="962"/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-</w:t>
      </w:r>
      <w:r>
        <w:rPr>
          <w:rStyle w:val="962"/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t xml:space="preserve">online</w:t>
      </w:r>
      <w:r>
        <w:rPr>
          <w:rStyle w:val="962"/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.</w:t>
      </w:r>
      <w:r>
        <w:rPr>
          <w:rStyle w:val="962"/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t xml:space="preserve">ru</w:t>
      </w:r>
      <w:r>
        <w:rPr>
          <w:rStyle w:val="962"/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/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fldChar w:fldCharType="end"/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52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tbl>
      <w:tblPr>
        <w:tblW w:w="10206" w:type="dxa"/>
        <w:tblInd w:w="108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127"/>
        <w:gridCol w:w="3262"/>
        <w:gridCol w:w="4817"/>
      </w:tblGrid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89" w:type="dxa"/>
            <w:vAlign w:val="top"/>
            <w:textDirection w:val="lrTb"/>
            <w:noWrap w:val="false"/>
          </w:tcPr>
          <w:p>
            <w:pPr>
              <w:pStyle w:val="952"/>
              <w:jc w:val="both"/>
              <w:spacing w:line="240" w:lineRule="atLeast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г. Санкт-Петербург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17" w:type="dxa"/>
            <w:vAlign w:val="center"/>
            <w:textDirection w:val="lrTb"/>
            <w:noWrap w:val="false"/>
          </w:tcPr>
          <w:p>
            <w:pPr>
              <w:pStyle w:val="952"/>
              <w:ind w:left="599"/>
              <w:widowControl w:val="off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Дата составления протокола: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29.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05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.20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г.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pStyle w:val="952"/>
              <w:ind w:left="599"/>
              <w:spacing w:line="240" w:lineRule="atLeast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Дата подписания протокола: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29.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05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.20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г.                                         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89" w:type="dxa"/>
            <w:vAlign w:val="top"/>
            <w:textDirection w:val="lrTb"/>
            <w:noWrap w:val="false"/>
          </w:tcPr>
          <w:p>
            <w:pPr>
              <w:pStyle w:val="952"/>
              <w:jc w:val="both"/>
              <w:spacing w:line="240" w:lineRule="atLeast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17" w:type="dxa"/>
            <w:vAlign w:val="center"/>
            <w:textDirection w:val="lrTb"/>
            <w:noWrap w:val="false"/>
          </w:tcPr>
          <w:p>
            <w:pPr>
              <w:pStyle w:val="952"/>
              <w:jc w:val="right"/>
              <w:spacing w:line="240" w:lineRule="atLeast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944"/>
        </w:trPr>
        <w:tc>
          <w:tcPr>
            <w:tcBorders>
              <w:bottom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pStyle w:val="953"/>
              <w:jc w:val="left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Предмет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конкурса в электронной форме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8079" w:type="dxa"/>
            <w:vAlign w:val="center"/>
            <w:textDirection w:val="lrTb"/>
            <w:noWrap w:val="false"/>
          </w:tcPr>
          <w:p>
            <w:pPr>
              <w:pStyle w:val="953"/>
              <w:ind w:right="34"/>
              <w:jc w:val="both"/>
              <w:spacing w:before="0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Оказание услуг ТП и сопровождения портала реализации услуг ПАО "Ленэнерго" в части подсистемы взаимодействия с внешними контрагентами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(250398)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14:ligatures w14:val="none"/>
              </w:rPr>
            </w:r>
          </w:p>
          <w:p>
            <w:pPr>
              <w:pStyle w:val="953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</w:tbl>
    <w:p>
      <w:pPr>
        <w:pStyle w:val="952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52"/>
        <w:numPr>
          <w:ilvl w:val="0"/>
          <w:numId w:val="1"/>
        </w:numPr>
        <w:ind w:left="0" w:firstLine="567"/>
        <w:jc w:val="both"/>
        <w:tabs>
          <w:tab w:val="left" w:pos="851" w:leader="none"/>
        </w:tabs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Повестка дня: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Подведение итогов по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конкурсу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в электронной форме на электронной торговой площадке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fldChar w:fldCharType="begin"/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instrText xml:space="preserve"> 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instrText xml:space="preserve">HYPERLINK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instrText xml:space="preserve"> "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instrText xml:space="preserve">https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instrText xml:space="preserve">://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instrText xml:space="preserve">etp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instrText xml:space="preserve">.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instrText xml:space="preserve">rosseti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instrText xml:space="preserve">.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instrText xml:space="preserve">ru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instrText xml:space="preserve">" 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fldChar w:fldCharType="separate"/>
      </w:r>
      <w:r>
        <w:rPr>
          <w:rStyle w:val="962"/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t xml:space="preserve">https</w:t>
      </w:r>
      <w:r>
        <w:rPr>
          <w:rStyle w:val="962"/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://</w:t>
      </w:r>
      <w:r>
        <w:rPr>
          <w:rStyle w:val="962"/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t xml:space="preserve">tender</w:t>
      </w:r>
      <w:r>
        <w:rPr>
          <w:rStyle w:val="962"/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.</w:t>
      </w:r>
      <w:r>
        <w:rPr>
          <w:rStyle w:val="962"/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t xml:space="preserve">lot</w:t>
      </w:r>
      <w:r>
        <w:rPr>
          <w:rStyle w:val="962"/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-</w:t>
      </w:r>
      <w:r>
        <w:rPr>
          <w:rStyle w:val="962"/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t xml:space="preserve">online</w:t>
      </w:r>
      <w:r>
        <w:rPr>
          <w:rStyle w:val="962"/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.</w:t>
      </w:r>
      <w:r>
        <w:rPr>
          <w:rStyle w:val="962"/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t xml:space="preserve">ru</w:t>
      </w:r>
      <w:r>
        <w:rPr>
          <w:rStyle w:val="962"/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/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fldChar w:fldCharType="end"/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на право заключения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договора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по лоту: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Передача прав на обновление комплекса А0, системы ПИР и баз данных нормативно справочной информации (251119)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.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52"/>
        <w:jc w:val="both"/>
        <w:tabs>
          <w:tab w:val="left" w:pos="709" w:leader="none"/>
        </w:tabs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52"/>
        <w:jc w:val="both"/>
        <w:rPr>
          <w:rFonts w:ascii="Times New Roman" w:hAnsi="Times New Roman" w:cs="Times New Roman"/>
          <w:b w:val="0"/>
          <w:bCs w:val="0"/>
          <w:i/>
          <w:sz w:val="22"/>
          <w:szCs w:val="22"/>
          <w:highlight w:val="yellow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Дата заседания комиссии: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29.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05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.20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2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5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г.</w:t>
      </w:r>
      <w:r>
        <w:rPr>
          <w:rFonts w:ascii="Times New Roman" w:hAnsi="Times New Roman" w:cs="Times New Roman"/>
          <w:b w:val="0"/>
          <w:bCs w:val="0"/>
          <w:i/>
          <w:sz w:val="22"/>
          <w:szCs w:val="22"/>
          <w:highlight w:val="yellow"/>
        </w:rPr>
      </w:r>
      <w:r>
        <w:rPr>
          <w:rFonts w:ascii="Times New Roman" w:hAnsi="Times New Roman" w:cs="Times New Roman"/>
          <w:b w:val="0"/>
          <w:bCs w:val="0"/>
          <w:i/>
          <w:sz w:val="22"/>
          <w:szCs w:val="22"/>
          <w:highlight w:val="yellow"/>
        </w:rPr>
      </w:r>
    </w:p>
    <w:p>
      <w:pPr>
        <w:pStyle w:val="952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Кворум имеется. Комиссия правомочна.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52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52"/>
        <w:numPr>
          <w:ilvl w:val="0"/>
          <w:numId w:val="1"/>
        </w:numPr>
        <w:ind w:left="0" w:firstLine="709"/>
        <w:jc w:val="both"/>
        <w:tabs>
          <w:tab w:val="left" w:pos="1134" w:leader="none"/>
        </w:tabs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Общая информация о закупке: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69"/>
        <w:ind w:left="0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52"/>
        <w:numPr>
          <w:ilvl w:val="0"/>
          <w:numId w:val="41"/>
        </w:numPr>
        <w:ind w:left="0" w:right="168" w:firstLine="709"/>
        <w:jc w:val="both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Основание п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роведения закупочной процедуры: В соответствии с приказом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br/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ПАО «Россети Ленэнерго» от 26.12.2024 № 835 «Об утверждении Плана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закупки товаров, работ, услуг ПАО «Россети Ленэнерго» на 2025 год», Единым стандартом закупок ПАО «Россети» (Положение о закупке), решение о присоединении к которому принято Советом директоров ПАО «Россети Ленэнерго» 01.02.2023 (протокол от 02.02.2023 №44)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2"/>
        <w:numPr>
          <w:ilvl w:val="0"/>
          <w:numId w:val="41"/>
        </w:numPr>
        <w:ind w:left="0" w:right="168" w:firstLine="709"/>
        <w:jc w:val="both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Извещение от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25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04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.20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2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5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г. о проведении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конкурса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в электронной форме, документация о закупке опубликованы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25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04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.202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5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г. на официальном сайте (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instrText xml:space="preserve">HYPERLINK "http://www.zakupki.gov.ru"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fldChar w:fldCharType="separate"/>
      </w:r>
      <w:r>
        <w:rPr>
          <w:rStyle w:val="962"/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www.zakupki.</w:t>
      </w:r>
      <w:r>
        <w:rPr>
          <w:rStyle w:val="962"/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t xml:space="preserve">gov</w:t>
      </w:r>
      <w:r>
        <w:rPr>
          <w:rStyle w:val="962"/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.ru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),</w:t>
      </w:r>
      <w:r>
        <w:rPr>
          <w:rFonts w:ascii="Times New Roman" w:hAnsi="Times New Roman" w:eastAsia="Times New Roman" w:cs="Times New Roman"/>
          <w:b w:val="0"/>
          <w:bCs w:val="0"/>
          <w:iCs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на сайте ЭТП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instrText xml:space="preserve"> HYPERLINK "https://tender.lot-online.ru/" 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fldChar w:fldCharType="separate"/>
      </w:r>
      <w:r>
        <w:rPr>
          <w:rStyle w:val="962"/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https://tender.lot-online.ru/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2"/>
        <w:numPr>
          <w:ilvl w:val="0"/>
          <w:numId w:val="41"/>
        </w:numPr>
        <w:ind w:left="0" w:right="168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Согласно процедуре электронных торгов на электронной торговой площадке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instrText xml:space="preserve"> HYPERLINK "https://tender.lot-online.ru/" 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fldChar w:fldCharType="separate"/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https://tender.lot-online.ru/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от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25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04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.202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5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г. объявление №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2"/>
          <w:szCs w:val="22"/>
          <w:highlight w:val="white"/>
        </w:rPr>
        <w:t xml:space="preserve">LENER25292DP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(номер извещения на сайте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fldChar w:fldCharType="begin"/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instrText xml:space="preserve"> 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instrText xml:space="preserve">HYPERLINK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instrText xml:space="preserve"> "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instrText xml:space="preserve">http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instrText xml:space="preserve">://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instrText xml:space="preserve">www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instrText xml:space="preserve">.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instrText xml:space="preserve">zakupki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instrText xml:space="preserve">.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instrText xml:space="preserve">gov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instrText xml:space="preserve">.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instrText xml:space="preserve">ru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instrText xml:space="preserve">/223" 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fldChar w:fldCharType="separate"/>
      </w:r>
      <w:r>
        <w:rPr>
          <w:rStyle w:val="962"/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t xml:space="preserve">www</w:t>
      </w:r>
      <w:r>
        <w:rPr>
          <w:rStyle w:val="962"/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.</w:t>
      </w:r>
      <w:r>
        <w:rPr>
          <w:rStyle w:val="962"/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t xml:space="preserve">zakupki</w:t>
      </w:r>
      <w:r>
        <w:rPr>
          <w:rStyle w:val="962"/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.</w:t>
      </w:r>
      <w:r>
        <w:rPr>
          <w:rStyle w:val="962"/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t xml:space="preserve">gov</w:t>
      </w:r>
      <w:r>
        <w:rPr>
          <w:rStyle w:val="962"/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.</w:t>
      </w:r>
      <w:r>
        <w:rPr>
          <w:rStyle w:val="962"/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t xml:space="preserve">ru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fldChar w:fldCharType="end"/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№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2"/>
          <w:szCs w:val="22"/>
          <w:highlight w:val="white"/>
        </w:rPr>
        <w:t xml:space="preserve">32514791881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в качестве участников данного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конкурса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в электронной форме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зарегистрировался следующий участник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0215" w:type="dxa"/>
        <w:tblInd w:w="89" w:type="dxa"/>
        <w:tblLayout w:type="fixed"/>
        <w:tblCellMar>
          <w:left w:w="100" w:type="dxa"/>
          <w:top w:w="0" w:type="dxa"/>
          <w:right w:w="100" w:type="dxa"/>
          <w:bottom w:w="0" w:type="dxa"/>
        </w:tblCellMar>
        <w:tblLook w:val="04A0" w:firstRow="1" w:lastRow="0" w:firstColumn="1" w:lastColumn="0" w:noHBand="0" w:noVBand="1"/>
      </w:tblPr>
      <w:tblGrid>
        <w:gridCol w:w="850"/>
        <w:gridCol w:w="2185"/>
        <w:gridCol w:w="7180"/>
      </w:tblGrid>
      <w:tr>
        <w:tblPrEx/>
        <w:trPr>
          <w:cantSplit/>
          <w:trHeight w:val="8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952"/>
              <w:jc w:val="center"/>
              <w:widowControl w:val="off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Номер п/п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85" w:type="dxa"/>
            <w:vAlign w:val="center"/>
            <w:textDirection w:val="lrTb"/>
            <w:noWrap w:val="false"/>
          </w:tcPr>
          <w:p>
            <w:pPr>
              <w:pStyle w:val="952"/>
              <w:ind w:left="142" w:right="142"/>
              <w:jc w:val="center"/>
              <w:widowControl w:val="off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Дата и время регистрации заявки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80" w:type="dxa"/>
            <w:vAlign w:val="center"/>
            <w:textDirection w:val="lrTb"/>
            <w:noWrap w:val="false"/>
          </w:tcPr>
          <w:p>
            <w:pPr>
              <w:pStyle w:val="952"/>
              <w:ind w:left="142" w:right="142"/>
              <w:jc w:val="center"/>
              <w:widowControl w:val="off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Участник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конкурса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в электронной форме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cantSplit/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952"/>
              <w:ind w:left="106" w:right="111"/>
              <w:jc w:val="center"/>
              <w:widowControl w:val="off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85" w:type="dxa"/>
            <w:vAlign w:val="center"/>
            <w:textDirection w:val="lrTb"/>
            <w:noWrap w:val="false"/>
          </w:tcPr>
          <w:p>
            <w:pPr>
              <w:pStyle w:val="952"/>
              <w:ind w:left="142" w:right="142"/>
              <w:jc w:val="center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07.05.2025 11:52:05 MCK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80" w:type="dxa"/>
            <w:vAlign w:val="center"/>
            <w:textDirection w:val="lrTb"/>
            <w:noWrap w:val="false"/>
          </w:tcPr>
          <w:p>
            <w:pPr>
              <w:pStyle w:val="952"/>
              <w:ind w:left="142" w:right="142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ООО "СОФТ-МАЖОР"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</w:tbl>
    <w:p>
      <w:pPr>
        <w:pStyle w:val="952"/>
        <w:ind w:left="709" w:right="-11" w:firstLine="0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4.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Начальная (максимальная) цена договора (цена закупки)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,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руб. с НДС/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руб. без НДС, Срок оказания услуг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: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tbl>
      <w:tblPr>
        <w:tblW w:w="4896" w:type="pct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889"/>
        <w:gridCol w:w="4454"/>
      </w:tblGrid>
      <w:tr>
        <w:tblPrEx/>
        <w:trPr>
          <w:trHeight w:val="703"/>
        </w:trPr>
        <w:tc>
          <w:tcPr>
            <w:tcW w:w="2847" w:type="pct"/>
            <w:vAlign w:val="center"/>
            <w:textDirection w:val="lrTb"/>
            <w:noWrap w:val="false"/>
          </w:tcPr>
          <w:p>
            <w:pPr>
              <w:pStyle w:val="952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br w:type="page" w:clear="all"/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Начальная (максимальная) цена договора (цена закуп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ки), руб. без НДС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2153" w:type="pct"/>
            <w:vAlign w:val="center"/>
            <w:textDirection w:val="lrTb"/>
            <w:noWrap w:val="false"/>
          </w:tcPr>
          <w:p>
            <w:pPr>
              <w:pStyle w:val="952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Срок оказания услуг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647"/>
        </w:trPr>
        <w:tc>
          <w:tcPr>
            <w:tcW w:w="2847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24 937 977,60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руб.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lang w:val="en-US"/>
              </w:rPr>
              <w:t xml:space="preserve">c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НДС;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4 156 329,60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руб. НДС-20%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20 781 648,00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руб. без НДС.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53" w:type="pct"/>
            <w:vAlign w:val="center"/>
            <w:textDirection w:val="lrTb"/>
            <w:noWrap w:val="false"/>
          </w:tcPr>
          <w:p>
            <w:pPr>
              <w:pStyle w:val="9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18.08.2025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17.08.2028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952"/>
        <w:ind w:left="0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ind w:left="0" w:right="0" w:firstLine="709"/>
        <w:jc w:val="both"/>
        <w:tabs>
          <w:tab w:val="left" w:pos="1418" w:leader="none"/>
        </w:tabs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5. По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результатам рассмотрения заявок участников в соответствии с протоко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лом  №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250398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-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2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br/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от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22.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05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.202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5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г.: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52"/>
        <w:ind w:left="0" w:right="0" w:firstLine="709"/>
        <w:jc w:val="both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5.1. </w:t>
        <w:tab/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Признать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Участником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конкурса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в электронной форме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следующего Участника: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left="0" w:right="0" w:firstLine="709"/>
        <w:jc w:val="both"/>
        <w:tabs>
          <w:tab w:val="left" w:pos="1418" w:leader="none"/>
        </w:tabs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</w:r>
    </w:p>
    <w:tbl>
      <w:tblPr>
        <w:tblW w:w="10204" w:type="dxa"/>
        <w:tblInd w:w="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1276"/>
        <w:gridCol w:w="8928"/>
      </w:tblGrid>
      <w:tr>
        <w:tblPrEx/>
        <w:trPr>
          <w:cantSplit/>
          <w:trHeight w:val="31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52"/>
              <w:jc w:val="center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Номер п/п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8" w:type="dxa"/>
            <w:vAlign w:val="center"/>
            <w:textDirection w:val="lrTb"/>
            <w:noWrap w:val="false"/>
          </w:tcPr>
          <w:p>
            <w:pPr>
              <w:pStyle w:val="952"/>
              <w:jc w:val="center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Участник конкурса в электронной форме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cantSplit/>
          <w:trHeight w:val="70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52"/>
              <w:jc w:val="center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8" w:type="dxa"/>
            <w:vAlign w:val="center"/>
            <w:textDirection w:val="lrTb"/>
            <w:noWrap w:val="false"/>
          </w:tcPr>
          <w:p>
            <w:pPr>
              <w:pStyle w:val="952"/>
              <w:ind w:left="142" w:right="142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ООО "СОФТ-МАЖОР"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</w:tbl>
    <w:p>
      <w:pPr>
        <w:ind w:left="0" w:right="0" w:firstLine="709"/>
        <w:jc w:val="both"/>
        <w:tabs>
          <w:tab w:val="left" w:pos="1418" w:leader="none"/>
        </w:tabs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ind w:left="0" w:right="0" w:firstLine="709"/>
        <w:jc w:val="both"/>
        <w:tabs>
          <w:tab w:val="left" w:pos="1418" w:leader="none"/>
        </w:tabs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</w:r>
    </w:p>
    <w:p>
      <w:pPr>
        <w:ind w:left="0" w:right="0" w:firstLine="709"/>
        <w:jc w:val="both"/>
        <w:tabs>
          <w:tab w:val="left" w:pos="1418" w:leader="none"/>
        </w:tabs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6.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По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результатам рассмотрения заявок участников в соответствии с протоко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лом №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250398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-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3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br/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от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27.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05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.202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5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г.: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</w:r>
    </w:p>
    <w:p>
      <w:pPr>
        <w:pStyle w:val="952"/>
        <w:ind w:left="0" w:right="0" w:firstLine="709"/>
        <w:jc w:val="both"/>
        <w:tabs>
          <w:tab w:val="left" w:pos="1418" w:leader="none"/>
        </w:tabs>
        <w:rPr>
          <w:rFonts w:ascii="Times New Roman" w:hAnsi="Times New Roman" w:eastAsia="Times New Roman" w:cs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6.1. </w:t>
        <w:tab/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Признана соответствующей требованиям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документации о закупке и принята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к дальнейшему рассмотрению заявка следующего участника: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highlight w:val="none"/>
        </w:rPr>
      </w:r>
    </w:p>
    <w:p>
      <w:pPr>
        <w:ind w:left="0" w:right="0" w:firstLine="0"/>
        <w:jc w:val="both"/>
        <w:tabs>
          <w:tab w:val="left" w:pos="1418" w:leader="none"/>
        </w:tabs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</w:r>
    </w:p>
    <w:tbl>
      <w:tblPr>
        <w:tblW w:w="10477" w:type="dxa"/>
        <w:tblInd w:w="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1276"/>
        <w:gridCol w:w="9201"/>
      </w:tblGrid>
      <w:tr>
        <w:tblPrEx/>
        <w:trPr>
          <w:cantSplit/>
          <w:trHeight w:val="31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52"/>
              <w:jc w:val="center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Номер п/п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01" w:type="dxa"/>
            <w:vAlign w:val="center"/>
            <w:textDirection w:val="lrTb"/>
            <w:noWrap w:val="false"/>
          </w:tcPr>
          <w:p>
            <w:pPr>
              <w:pStyle w:val="952"/>
              <w:jc w:val="center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Участник конкурса в электронной форме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cantSplit/>
          <w:trHeight w:val="70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pStyle w:val="952"/>
              <w:jc w:val="center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01" w:type="dxa"/>
            <w:vAlign w:val="center"/>
            <w:textDirection w:val="lrTb"/>
            <w:noWrap w:val="false"/>
          </w:tcPr>
          <w:p>
            <w:pPr>
              <w:pStyle w:val="952"/>
              <w:ind w:left="142" w:right="142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ООО "СОФТ-МАЖОР"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</w:tbl>
    <w:p>
      <w:pPr>
        <w:pStyle w:val="952"/>
        <w:ind w:right="-11" w:firstLine="567"/>
        <w:jc w:val="both"/>
        <w:tabs>
          <w:tab w:val="left" w:pos="993" w:leader="none"/>
        </w:tabs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52"/>
        <w:numPr>
          <w:ilvl w:val="0"/>
          <w:numId w:val="1"/>
        </w:numPr>
        <w:ind w:left="0" w:firstLine="709"/>
        <w:jc w:val="both"/>
        <w:tabs>
          <w:tab w:val="left" w:pos="1134" w:leader="none"/>
        </w:tabs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Закупочная комиссия рассмотрела и определила: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52"/>
        <w:ind w:left="284"/>
        <w:jc w:val="both"/>
        <w:tabs>
          <w:tab w:val="left" w:pos="709" w:leader="none"/>
        </w:tabs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52"/>
        <w:numPr>
          <w:ilvl w:val="0"/>
          <w:numId w:val="5"/>
        </w:numPr>
        <w:ind w:left="0" w:firstLine="567"/>
        <w:jc w:val="both"/>
        <w:tabs>
          <w:tab w:val="left" w:pos="851" w:leader="none"/>
        </w:tabs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Учас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тником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запроса предложений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в электронной форме на электронной торговой площадке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fldChar w:fldCharType="begin"/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instrText xml:space="preserve"> 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instrText xml:space="preserve">HYPERLINK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instrText xml:space="preserve"> "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instrText xml:space="preserve">https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instrText xml:space="preserve">://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instrText xml:space="preserve">etp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instrText xml:space="preserve">.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instrText xml:space="preserve">rosseti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instrText xml:space="preserve">.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instrText xml:space="preserve">ru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instrText xml:space="preserve">" </w:instrTex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fldChar w:fldCharType="separate"/>
      </w:r>
      <w:r>
        <w:rPr>
          <w:rStyle w:val="962"/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t xml:space="preserve">https</w:t>
      </w:r>
      <w:r>
        <w:rPr>
          <w:rStyle w:val="962"/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://</w:t>
      </w:r>
      <w:r>
        <w:rPr>
          <w:rStyle w:val="962"/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t xml:space="preserve">tender</w:t>
      </w:r>
      <w:r>
        <w:rPr>
          <w:rStyle w:val="962"/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.</w:t>
      </w:r>
      <w:r>
        <w:rPr>
          <w:rStyle w:val="962"/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t xml:space="preserve">lot</w:t>
      </w:r>
      <w:r>
        <w:rPr>
          <w:rStyle w:val="962"/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-</w:t>
      </w:r>
      <w:r>
        <w:rPr>
          <w:rStyle w:val="962"/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t xml:space="preserve">online</w:t>
      </w:r>
      <w:r>
        <w:rPr>
          <w:rStyle w:val="962"/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.</w:t>
      </w:r>
      <w:r>
        <w:rPr>
          <w:rStyle w:val="962"/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t xml:space="preserve">ru</w:t>
      </w:r>
      <w:r>
        <w:rPr>
          <w:rStyle w:val="962"/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/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lang w:val="en-US"/>
        </w:rPr>
        <w:fldChar w:fldCharType="end"/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представлена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заявк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со следующ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им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предложени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ем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участник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о цене договора: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52"/>
        <w:ind w:left="851"/>
        <w:jc w:val="both"/>
        <w:tabs>
          <w:tab w:val="left" w:pos="1418" w:leader="none"/>
        </w:tabs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tbl>
      <w:tblPr>
        <w:tblW w:w="10206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92"/>
        <w:gridCol w:w="4111"/>
        <w:gridCol w:w="2410"/>
        <w:gridCol w:w="26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004"/>
          <w:tblHeader/>
        </w:trPr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952"/>
              <w:jc w:val="center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Номер п/п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4111" w:type="dxa"/>
            <w:vAlign w:val="center"/>
            <w:textDirection w:val="lrTb"/>
            <w:noWrap w:val="false"/>
          </w:tcPr>
          <w:p>
            <w:pPr>
              <w:pStyle w:val="955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Участник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конкурса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в электронной форме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955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Предложение участника о цене договора до переторжки (руб. с НДС)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pStyle w:val="955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Предложение участника о цене договора после переторжки (руб.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с НДС)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/>
        </w:trPr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952"/>
              <w:jc w:val="center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4111" w:type="dxa"/>
            <w:vAlign w:val="center"/>
            <w:textDirection w:val="lrTb"/>
            <w:noWrap w:val="false"/>
          </w:tcPr>
          <w:p>
            <w:pPr>
              <w:pStyle w:val="952"/>
              <w:ind w:left="142" w:right="142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ООО "СОФТ-МАЖОР"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pStyle w:val="955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white"/>
              </w:rPr>
              <w:t xml:space="preserve">21 820 730,40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pStyle w:val="955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white"/>
              </w:rPr>
              <w:t xml:space="preserve">21 778 730,40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  <w:highlight w:val="none"/>
                <w:vertAlign w:val="superscript"/>
              </w:rPr>
              <w:t xml:space="preserve">*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vertAlign w:val="superscript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vertAlign w:val="superscript"/>
              </w:rPr>
            </w:r>
          </w:p>
        </w:tc>
      </w:tr>
    </w:tbl>
    <w:p>
      <w:pPr>
        <w:pStyle w:val="952"/>
        <w:ind w:left="851"/>
        <w:jc w:val="both"/>
        <w:tabs>
          <w:tab w:val="left" w:pos="1418" w:leader="none"/>
        </w:tabs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Участник применяет УСН (ставка НДС 5%)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52"/>
        <w:numPr>
          <w:ilvl w:val="0"/>
          <w:numId w:val="5"/>
        </w:numPr>
        <w:jc w:val="both"/>
        <w:tabs>
          <w:tab w:val="left" w:pos="1418" w:leader="none"/>
        </w:tabs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Срок оказания услуг (Срок действия лицензии)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: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52"/>
        <w:ind w:left="1417"/>
        <w:jc w:val="both"/>
        <w:tabs>
          <w:tab w:val="left" w:pos="1418" w:leader="none"/>
        </w:tabs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tbl>
      <w:tblPr>
        <w:tblW w:w="10206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93"/>
        <w:gridCol w:w="2268"/>
        <w:gridCol w:w="2693"/>
        <w:gridCol w:w="2551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191"/>
          <w:tblHeader/>
        </w:trPr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952"/>
              <w:jc w:val="center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Номер п/п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55"/>
              <w:tabs>
                <w:tab w:val="left" w:pos="284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Участник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конкурса  в электронной форме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pStyle w:val="952"/>
              <w:jc w:val="center"/>
              <w:tabs>
                <w:tab w:val="left" w:pos="284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Срок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оказания услуг (Срок действия лицензии)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в соответствии с документацией о закупке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pStyle w:val="952"/>
              <w:jc w:val="center"/>
              <w:tabs>
                <w:tab w:val="left" w:pos="284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Срок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оказания услуг (Срок действия лицензии)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, предложенный участником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52"/>
              <w:jc w:val="center"/>
              <w:tabs>
                <w:tab w:val="left" w:pos="284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Вывод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988"/>
        </w:trPr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952"/>
              <w:jc w:val="center"/>
              <w:tabs>
                <w:tab w:val="left" w:pos="426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52"/>
              <w:ind w:left="142" w:right="142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2"/>
                <w:szCs w:val="22"/>
                <w:u w:val="none"/>
                <w:vertAlign w:val="baseline"/>
              </w:rPr>
              <w:t xml:space="preserve">ООО "СОФТ-МАЖОР"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pStyle w:val="952"/>
              <w:ind w:left="33" w:right="33"/>
              <w:widowControl w:val="off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pStyle w:val="9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18.08.2025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17.08.2028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pStyle w:val="9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18.08.2025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17.08.2028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52"/>
              <w:jc w:val="center"/>
              <w:tabs>
                <w:tab w:val="left" w:pos="284" w:leader="none"/>
              </w:tabs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Соответствует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</w:tbl>
    <w:p>
      <w:pPr>
        <w:pStyle w:val="952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52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52"/>
        <w:numPr>
          <w:ilvl w:val="0"/>
          <w:numId w:val="1"/>
        </w:numPr>
        <w:ind w:left="0" w:firstLine="709"/>
        <w:jc w:val="both"/>
        <w:tabs>
          <w:tab w:val="left" w:pos="1134" w:leader="none"/>
        </w:tabs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Закупочная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комиссия по результатам голосования решила: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52"/>
        <w:ind w:left="284"/>
        <w:jc w:val="both"/>
        <w:widowControl w:val="off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52"/>
        <w:numPr>
          <w:ilvl w:val="0"/>
          <w:numId w:val="17"/>
        </w:numPr>
        <w:ind w:left="0" w:firstLine="709"/>
        <w:jc w:val="both"/>
        <w:tabs>
          <w:tab w:val="left" w:pos="1418" w:leader="none"/>
        </w:tabs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В связи с поступлением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к рассмотрению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заявки от одного Участника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по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запросу предложений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в электронной форме на право заключения договора по лоту: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2"/>
          <w:szCs w:val="22"/>
        </w:rPr>
        <w:t xml:space="preserve">Оказание услуг ТП и сопровождения портала реализации услуг ПАО "Ленэнерго" в части подсистемы взаимодействия с внешними контрагентами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2"/>
          <w:szCs w:val="22"/>
        </w:rPr>
        <w:t xml:space="preserve">(250398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)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, в соответствии с п.п.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а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) п. 7.5.1. Единого Стандарта закупок ПАО «Россети» (Положение о закупке) признать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запрос предложений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в электронной форме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несостоявшимся.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52"/>
        <w:ind w:left="709"/>
        <w:jc w:val="both"/>
        <w:tabs>
          <w:tab w:val="left" w:pos="1418" w:leader="none"/>
        </w:tabs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52"/>
        <w:ind w:left="142" w:right="142"/>
        <w:widowControl w:val="off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          2. Признать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участника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22"/>
          <w:szCs w:val="22"/>
          <w:u w:val="none"/>
          <w:vertAlign w:val="baseline"/>
        </w:rPr>
        <w:t xml:space="preserve">ООО "СОФТ-МАЖОР"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со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ответствующим всем требованиям документации о закупке.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69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69"/>
        <w:ind w:left="360" w:firstLine="0"/>
        <w:jc w:val="both"/>
        <w:widowControl w:val="off"/>
        <w:tabs>
          <w:tab w:val="left" w:pos="1418" w:leader="none"/>
        </w:tabs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       3. Заключить с участником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22"/>
          <w:szCs w:val="22"/>
          <w:u w:val="none"/>
          <w:vertAlign w:val="baseline"/>
        </w:rPr>
        <w:t xml:space="preserve">ООО "СОФТ-МАЖОР"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договор по лоту: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2"/>
          <w:szCs w:val="22"/>
        </w:rPr>
        <w:t xml:space="preserve">Оказание услуг ТП и сопровождения портала реализации услуг ПАО "Ленэнерго" в части подсистемы взаимодействия с внешними контрагентами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2"/>
          <w:szCs w:val="22"/>
        </w:rPr>
        <w:t xml:space="preserve">(250398)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на следующих условиях: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</w:r>
    </w:p>
    <w:p>
      <w:pPr>
        <w:pStyle w:val="969"/>
        <w:ind w:left="360" w:firstLine="0"/>
        <w:jc w:val="both"/>
        <w:widowControl w:val="off"/>
        <w:tabs>
          <w:tab w:val="left" w:pos="1418" w:leader="none"/>
        </w:tabs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69"/>
        <w:numPr>
          <w:ilvl w:val="0"/>
          <w:numId w:val="20"/>
        </w:numPr>
        <w:ind w:left="1134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стоимость договора - 21 778 730, 40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руб.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(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с НДС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5%)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;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69"/>
        <w:numPr>
          <w:ilvl w:val="0"/>
          <w:numId w:val="20"/>
        </w:numPr>
        <w:ind w:left="1134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с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рок оказания услуг: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18.08.2025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-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17.08.2028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69"/>
        <w:ind w:left="0" w:firstLine="0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52"/>
        <w:ind w:firstLine="709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br w:type="page" w:clear="all"/>
      </w:r>
      <w:r>
        <w:rPr>
          <w:rFonts w:ascii="Times New Roman" w:hAnsi="Times New Roman" w:eastAsia="Times New Roman" w:cs="Times New Roman"/>
          <w:b w:val="0"/>
          <w:bCs w:val="0"/>
          <w:iCs/>
          <w:sz w:val="22"/>
          <w:szCs w:val="22"/>
        </w:rPr>
        <w:t xml:space="preserve">Результаты голосования: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«За» - ____ членов комиссии; «Против» - ____ членов комиссии; 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52"/>
        <w:ind w:left="142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«Воздержался» - ____ членов комиссии; «Отсутствовал» - ____ членов комиссии.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52"/>
        <w:ind w:left="142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52"/>
        <w:ind w:left="142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52"/>
        <w:ind w:left="142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52"/>
        <w:ind w:left="142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Подписи членов Закупочной комиссии: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52"/>
        <w:ind w:left="142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952"/>
        <w:ind w:left="142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tbl>
      <w:tblPr>
        <w:tblW w:w="10444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702"/>
        <w:gridCol w:w="1418"/>
        <w:gridCol w:w="1559"/>
        <w:gridCol w:w="2126"/>
        <w:gridCol w:w="3639"/>
      </w:tblGrid>
      <w:tr>
        <w:tblPrEx/>
        <w:trPr>
          <w:trHeight w:val="10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52"/>
              <w:ind w:left="404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52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За/Против/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  <w:p>
            <w:pPr>
              <w:pStyle w:val="952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Возд./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  <w:p>
            <w:pPr>
              <w:pStyle w:val="952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Отсутст.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52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Подпись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52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ФИО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52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Должность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1364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52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Председатель комиссии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52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52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52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Бечик С.Е.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83"/>
              <w:ind w:firstLine="0"/>
              <w:spacing w:after="0" w:line="240" w:lineRule="auto"/>
              <w:shd w:val="clear" w:color="auto" w:fill="auto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Исполняющий обязанности начальника департамента логистики и МТО ПАО «Россети Ленэнерго»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1014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52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Заместитель председателя комиссии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52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52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52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Захаров А.В.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83"/>
              <w:ind w:firstLine="0"/>
              <w:spacing w:after="0" w:line="240" w:lineRule="auto"/>
              <w:shd w:val="clear" w:color="auto" w:fill="auto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Директор по безопасности - начальник департамента безопасности ПАО «Россети Ленэнерго»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143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vMerge w:val="restart"/>
            <w:textDirection w:val="lrTb"/>
            <w:noWrap w:val="false"/>
          </w:tcPr>
          <w:p>
            <w:pPr>
              <w:pStyle w:val="952"/>
              <w:ind w:left="18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Члены комиссии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52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52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52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Гаас О.А.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83"/>
              <w:ind w:firstLine="0"/>
              <w:spacing w:after="0" w:line="240" w:lineRule="auto"/>
              <w:shd w:val="clear" w:color="auto" w:fill="auto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Исполняющий обязанности директора по финансам – начальника департамента финансов ПАО «Россети Ленэнерго»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112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vMerge w:val="continue"/>
            <w:textDirection w:val="lrTb"/>
            <w:noWrap w:val="false"/>
          </w:tcPr>
          <w:p>
            <w:pPr>
              <w:pStyle w:val="952"/>
              <w:ind w:left="181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52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52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83"/>
              <w:ind w:left="40" w:firstLine="0"/>
              <w:jc w:val="center"/>
              <w:spacing w:after="0" w:line="240" w:lineRule="auto"/>
              <w:shd w:val="clear" w:color="auto" w:fill="auto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Чумак Ю.В.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83"/>
              <w:ind w:left="40" w:firstLine="0"/>
              <w:spacing w:after="0" w:line="240" w:lineRule="auto"/>
              <w:shd w:val="clear" w:color="auto" w:fill="auto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Начальник отдела антикоррупционных комплаенс-процедур ПАО «Россети Ленэнерго»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109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vMerge w:val="continue"/>
            <w:textDirection w:val="lrTb"/>
            <w:noWrap w:val="false"/>
          </w:tcPr>
          <w:p>
            <w:pPr>
              <w:pStyle w:val="952"/>
              <w:ind w:left="181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52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52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52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Подольский В.А.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52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Заместитель начальника отдела правовой экспертизы </w:t>
              <w:br w:type="textWrapping" w:clear="all"/>
              <w:t xml:space="preserve">ПАО «Россети Ленэнерго»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110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52"/>
              <w:ind w:left="18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52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52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52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Батанов П.В.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52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Заместитель главного инженера </w:t>
              <w:br w:type="textWrapping" w:clear="all"/>
              <w:t xml:space="preserve">по высоковольтным сетям –начальник департамента высоковольтных сетей ПАО «Россети Ленэнерго»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110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52"/>
              <w:ind w:left="18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52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52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52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Сафонов А.М.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52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Начальник тендерно-договорного отдела управления строительства и реконструкции объектов распределительной сети департамента капитального строительства ПАО «Россети Ленэнерго»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110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52"/>
              <w:ind w:left="181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52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52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52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Огнёв Р.С.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52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Директор департамента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pStyle w:val="952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по цифровой трансформации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pStyle w:val="952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ПАО «Россети Ленэнерго»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112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52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Секретарь комиссии (без права голоса)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52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52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52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Емец И.А.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52"/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Ведущий специалист отдела подготовки и проведения конкурсов ПАО «Россети Ленэнерго»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</w:tr>
    </w:tbl>
    <w:p>
      <w:r/>
      <w:r/>
    </w:p>
    <w:sectPr>
      <w:footerReference w:type="default" r:id="rId9"/>
      <w:footnotePr/>
      <w:endnotePr/>
      <w:type w:val="nextPage"/>
      <w:pgSz w:w="11906" w:h="16838" w:orient="portrait"/>
      <w:pgMar w:top="709" w:right="707" w:bottom="899" w:left="993" w:header="284" w:footer="341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ahoma">
    <w:panose1 w:val="020B0604030504040204"/>
  </w:font>
  <w:font w:name="Times New Roman CYR">
    <w:panose1 w:val="020206030504050203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3"/>
      <w:jc w:val="center"/>
      <w:tabs>
        <w:tab w:val="clear" w:pos="4677" w:leader="none"/>
        <w:tab w:val="clear" w:pos="9355" w:leader="none"/>
        <w:tab w:val="right" w:pos="10206" w:leader="none"/>
      </w:tabs>
      <w:rPr>
        <w:sz w:val="18"/>
        <w:szCs w:val="18"/>
      </w:rPr>
    </w:pPr>
    <w:r>
      <w:rPr>
        <w:sz w:val="18"/>
        <w:szCs w:val="18"/>
      </w:rPr>
      <w:t xml:space="preserve">Протокол № </w:t>
    </w:r>
    <w:r>
      <w:rPr>
        <w:sz w:val="18"/>
        <w:szCs w:val="18"/>
      </w:rPr>
      <w:t xml:space="preserve">250398-4</w:t>
    </w:r>
    <w:r>
      <w:rPr>
        <w:sz w:val="18"/>
        <w:szCs w:val="18"/>
      </w:rPr>
    </w:r>
    <w:r>
      <w:rPr>
        <w:sz w:val="18"/>
        <w:szCs w:val="18"/>
      </w:rPr>
    </w:r>
  </w:p>
  <w:p>
    <w:pPr>
      <w:pStyle w:val="963"/>
      <w:jc w:val="center"/>
      <w:tabs>
        <w:tab w:val="clear" w:pos="4677" w:leader="none"/>
        <w:tab w:val="clear" w:pos="9355" w:leader="none"/>
        <w:tab w:val="right" w:pos="10206" w:leader="none"/>
      </w:tabs>
      <w:rPr>
        <w:sz w:val="6"/>
        <w:szCs w:val="6"/>
      </w:rPr>
    </w:pPr>
    <w:r>
      <w:rPr>
        <w:sz w:val="6"/>
        <w:szCs w:val="6"/>
      </w:rPr>
    </w:r>
    <w:r>
      <w:rPr>
        <w:sz w:val="6"/>
        <w:szCs w:val="6"/>
      </w:rPr>
    </w:r>
    <w:r>
      <w:rPr>
        <w:sz w:val="6"/>
        <w:szCs w:val="6"/>
      </w:rPr>
    </w:r>
  </w:p>
  <w:p>
    <w:pPr>
      <w:pStyle w:val="963"/>
      <w:jc w:val="center"/>
      <w:rPr>
        <w:sz w:val="18"/>
        <w:szCs w:val="18"/>
      </w:rPr>
    </w:pPr>
    <w:r>
      <w:rPr>
        <w:sz w:val="18"/>
        <w:szCs w:val="18"/>
      </w:rPr>
      <w:t xml:space="preserve">Страница </w:t>
    </w:r>
    <w:r>
      <w:rPr>
        <w:bCs/>
        <w:sz w:val="18"/>
        <w:szCs w:val="18"/>
      </w:rPr>
      <w:fldChar w:fldCharType="begin"/>
    </w:r>
    <w:r>
      <w:rPr>
        <w:bCs/>
        <w:sz w:val="18"/>
        <w:szCs w:val="18"/>
      </w:rPr>
      <w:instrText xml:space="preserve">PAGE</w:instrText>
    </w:r>
    <w:r>
      <w:rPr>
        <w:bCs/>
        <w:sz w:val="18"/>
        <w:szCs w:val="18"/>
      </w:rPr>
      <w:fldChar w:fldCharType="separate"/>
    </w:r>
    <w:r>
      <w:rPr>
        <w:bCs/>
        <w:sz w:val="18"/>
        <w:szCs w:val="18"/>
      </w:rPr>
      <w:t xml:space="preserve">3</w:t>
    </w:r>
    <w:r>
      <w:rPr>
        <w:bCs/>
        <w:sz w:val="18"/>
        <w:szCs w:val="18"/>
      </w:rPr>
      <w:fldChar w:fldCharType="end"/>
    </w:r>
    <w:r>
      <w:rPr>
        <w:sz w:val="18"/>
        <w:szCs w:val="18"/>
      </w:rPr>
      <w:t xml:space="preserve"> из </w:t>
    </w:r>
    <w:r>
      <w:rPr>
        <w:bCs/>
        <w:sz w:val="18"/>
        <w:szCs w:val="18"/>
      </w:rPr>
      <w:fldChar w:fldCharType="begin"/>
    </w:r>
    <w:r>
      <w:rPr>
        <w:bCs/>
        <w:sz w:val="18"/>
        <w:szCs w:val="18"/>
      </w:rPr>
      <w:instrText xml:space="preserve">NUMPAGES</w:instrText>
    </w:r>
    <w:r>
      <w:rPr>
        <w:bCs/>
        <w:sz w:val="18"/>
        <w:szCs w:val="18"/>
      </w:rPr>
      <w:fldChar w:fldCharType="separate"/>
    </w:r>
    <w:r>
      <w:rPr>
        <w:bCs/>
        <w:sz w:val="18"/>
        <w:szCs w:val="18"/>
      </w:rPr>
      <w:t xml:space="preserve">3</w:t>
    </w:r>
    <w:r>
      <w:rPr>
        <w:bCs/>
        <w:sz w:val="18"/>
        <w:szCs w:val="18"/>
      </w:rPr>
      <w:fldChar w:fldCharType="end"/>
    </w:r>
    <w:r>
      <w:rPr>
        <w:sz w:val="18"/>
        <w:szCs w:val="18"/>
      </w:rPr>
    </w:r>
    <w:r>
      <w:rPr>
        <w:sz w:val="18"/>
        <w:szCs w:val="18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9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11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33" w:hanging="180"/>
      </w:pPr>
    </w:lvl>
    <w:lvl w:ilvl="3">
      <w:start w:val="1"/>
      <w:numFmt w:val="decimal"/>
      <w:pStyle w:val="987"/>
      <w:isLgl w:val="false"/>
      <w:suff w:val="tab"/>
      <w:lvlText w:val="%4."/>
      <w:lvlJc w:val="left"/>
      <w:pPr>
        <w:ind w:left="255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7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9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1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3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53" w:hanging="180"/>
      </w:pPr>
    </w:lvl>
  </w:abstractNum>
  <w:abstractNum w:abstractNumId="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2"/>
      <w:numFmt w:val="decimal"/>
      <w:isLgl w:val="false"/>
      <w:suff w:val="tab"/>
      <w:lvlText w:val="%1.%2.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214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86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58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30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02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74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46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18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909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</w:pPr>
      <w:rPr>
        <w:rFonts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7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1080" w:hanging="1080"/>
      </w:pPr>
    </w:lvl>
    <w:lvl w:ilvl="1">
      <w:start w:val="6"/>
      <w:numFmt w:val="decimalZero"/>
      <w:isLgl w:val="false"/>
      <w:suff w:val="tab"/>
      <w:lvlText w:val="%1.%2"/>
      <w:lvlJc w:val="left"/>
      <w:pPr>
        <w:ind w:left="1080" w:hanging="1080"/>
      </w:pPr>
    </w:lvl>
    <w:lvl w:ilvl="2">
      <w:start w:val="2021"/>
      <w:numFmt w:val="decimal"/>
      <w:isLgl w:val="false"/>
      <w:suff w:val="tab"/>
      <w:lvlText w:val="%1.%2.%3"/>
      <w:lvlJc w:val="left"/>
      <w:pPr>
        <w:ind w:left="1080" w:hanging="108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927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9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01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6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47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04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816" w:hanging="180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/>
        <w:sz w:val="20"/>
        <w:szCs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126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505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25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45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65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85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05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25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45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65" w:hanging="360"/>
      </w:pPr>
      <w:rPr>
        <w:rFonts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7" w:hanging="708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780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2138" w:hanging="360"/>
      </w:pPr>
      <w:rPr>
        <w:rFonts w:ascii="Symbol" w:hAnsi="Symbol"/>
        <w:sz w:val="20"/>
        <w:szCs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53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73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3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3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3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3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3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3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3" w:hanging="360"/>
      </w:pPr>
      <w:rPr>
        <w:rFonts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26">
    <w:multiLevelType w:val="hybridMultilevel"/>
    <w:lvl w:ilvl="0">
      <w:start w:val="1"/>
      <w:numFmt w:val="decimalZero"/>
      <w:isLgl w:val="false"/>
      <w:suff w:val="tab"/>
      <w:lvlText w:val="%1"/>
      <w:lvlJc w:val="left"/>
      <w:pPr>
        <w:ind w:left="1080" w:hanging="1080"/>
      </w:pPr>
    </w:lvl>
    <w:lvl w:ilvl="1">
      <w:start w:val="9"/>
      <w:numFmt w:val="decimalZero"/>
      <w:isLgl w:val="false"/>
      <w:suff w:val="tab"/>
      <w:lvlText w:val="%1.%2"/>
      <w:lvlJc w:val="left"/>
      <w:pPr>
        <w:ind w:left="1080" w:hanging="1080"/>
      </w:pPr>
    </w:lvl>
    <w:lvl w:ilvl="2">
      <w:start w:val="2024"/>
      <w:numFmt w:val="decimal"/>
      <w:isLgl w:val="false"/>
      <w:suff w:val="tab"/>
      <w:lvlText w:val="%1.%2.%3"/>
      <w:lvlJc w:val="left"/>
      <w:pPr>
        <w:ind w:left="1080" w:hanging="108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67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8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0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2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4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6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8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0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27" w:hanging="360"/>
      </w:pPr>
      <w:rPr>
        <w:rFonts w:ascii="Wingdings" w:hAnsi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5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126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8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126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num w:numId="1">
    <w:abstractNumId w:val="38"/>
  </w:num>
  <w:num w:numId="2">
    <w:abstractNumId w:val="34"/>
  </w:num>
  <w:num w:numId="3">
    <w:abstractNumId w:val="0"/>
  </w:num>
  <w:num w:numId="4">
    <w:abstractNumId w:val="5"/>
  </w:num>
  <w:num w:numId="5">
    <w:abstractNumId w:val="37"/>
  </w:num>
  <w:num w:numId="6">
    <w:abstractNumId w:val="11"/>
  </w:num>
  <w:num w:numId="7">
    <w:abstractNumId w:val="36"/>
  </w:num>
  <w:num w:numId="8">
    <w:abstractNumId w:val="29"/>
  </w:num>
  <w:num w:numId="9">
    <w:abstractNumId w:val="13"/>
  </w:num>
  <w:num w:numId="10">
    <w:abstractNumId w:val="27"/>
  </w:num>
  <w:num w:numId="11">
    <w:abstractNumId w:val="7"/>
  </w:num>
  <w:num w:numId="12">
    <w:abstractNumId w:val="23"/>
  </w:num>
  <w:num w:numId="13">
    <w:abstractNumId w:val="9"/>
  </w:num>
  <w:num w:numId="14">
    <w:abstractNumId w:val="2"/>
  </w:num>
  <w:num w:numId="15">
    <w:abstractNumId w:val="6"/>
  </w:num>
  <w:num w:numId="16">
    <w:abstractNumId w:val="20"/>
  </w:num>
  <w:num w:numId="17">
    <w:abstractNumId w:val="8"/>
  </w:num>
  <w:num w:numId="18">
    <w:abstractNumId w:val="1"/>
  </w:num>
  <w:num w:numId="19">
    <w:abstractNumId w:val="22"/>
  </w:num>
  <w:num w:numId="20">
    <w:abstractNumId w:val="18"/>
  </w:num>
  <w:num w:numId="21">
    <w:abstractNumId w:val="32"/>
  </w:num>
  <w:num w:numId="22">
    <w:abstractNumId w:val="28"/>
  </w:num>
  <w:num w:numId="23">
    <w:abstractNumId w:val="15"/>
  </w:num>
  <w:num w:numId="24">
    <w:abstractNumId w:val="16"/>
  </w:num>
  <w:num w:numId="25">
    <w:abstractNumId w:val="25"/>
  </w:num>
  <w:num w:numId="26">
    <w:abstractNumId w:val="31"/>
  </w:num>
  <w:num w:numId="27">
    <w:abstractNumId w:val="4"/>
  </w:num>
  <w:num w:numId="28">
    <w:abstractNumId w:val="30"/>
  </w:num>
  <w:num w:numId="29">
    <w:abstractNumId w:val="14"/>
  </w:num>
  <w:num w:numId="30">
    <w:abstractNumId w:val="24"/>
  </w:num>
  <w:num w:numId="31">
    <w:abstractNumId w:val="10"/>
  </w:num>
  <w:num w:numId="32">
    <w:abstractNumId w:val="21"/>
  </w:num>
  <w:num w:numId="33">
    <w:abstractNumId w:val="39"/>
  </w:num>
  <w:num w:numId="34">
    <w:abstractNumId w:val="17"/>
  </w:num>
  <w:num w:numId="35">
    <w:abstractNumId w:val="12"/>
  </w:num>
  <w:num w:numId="36">
    <w:abstractNumId w:val="35"/>
  </w:num>
  <w:num w:numId="37">
    <w:abstractNumId w:val="19"/>
  </w:num>
  <w:num w:numId="38">
    <w:abstractNumId w:val="3"/>
  </w:num>
  <w:num w:numId="39">
    <w:abstractNumId w:val="26"/>
  </w:num>
  <w:num w:numId="40">
    <w:abstractNumId w:val="33"/>
  </w:num>
  <w:num w:numId="41">
    <w:abstractNumId w:val="40"/>
  </w:num>
  <w:num w:numId="42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74">
    <w:name w:val="Heading 1"/>
    <w:basedOn w:val="952"/>
    <w:next w:val="952"/>
    <w:link w:val="77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75">
    <w:name w:val="Heading 1 Char"/>
    <w:link w:val="774"/>
    <w:uiPriority w:val="9"/>
    <w:rPr>
      <w:rFonts w:ascii="Arial" w:hAnsi="Arial" w:eastAsia="Arial" w:cs="Arial"/>
      <w:sz w:val="40"/>
      <w:szCs w:val="40"/>
    </w:rPr>
  </w:style>
  <w:style w:type="paragraph" w:styleId="776">
    <w:name w:val="Heading 2"/>
    <w:basedOn w:val="952"/>
    <w:next w:val="952"/>
    <w:link w:val="77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77">
    <w:name w:val="Heading 2 Char"/>
    <w:link w:val="776"/>
    <w:uiPriority w:val="9"/>
    <w:rPr>
      <w:rFonts w:ascii="Arial" w:hAnsi="Arial" w:eastAsia="Arial" w:cs="Arial"/>
      <w:sz w:val="34"/>
    </w:rPr>
  </w:style>
  <w:style w:type="paragraph" w:styleId="778">
    <w:name w:val="Heading 3"/>
    <w:basedOn w:val="952"/>
    <w:next w:val="952"/>
    <w:link w:val="77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79">
    <w:name w:val="Heading 3 Char"/>
    <w:link w:val="778"/>
    <w:uiPriority w:val="9"/>
    <w:rPr>
      <w:rFonts w:ascii="Arial" w:hAnsi="Arial" w:eastAsia="Arial" w:cs="Arial"/>
      <w:sz w:val="30"/>
      <w:szCs w:val="30"/>
    </w:rPr>
  </w:style>
  <w:style w:type="paragraph" w:styleId="780">
    <w:name w:val="Heading 4"/>
    <w:basedOn w:val="952"/>
    <w:next w:val="952"/>
    <w:link w:val="78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81">
    <w:name w:val="Heading 4 Char"/>
    <w:link w:val="780"/>
    <w:uiPriority w:val="9"/>
    <w:rPr>
      <w:rFonts w:ascii="Arial" w:hAnsi="Arial" w:eastAsia="Arial" w:cs="Arial"/>
      <w:b/>
      <w:bCs/>
      <w:sz w:val="26"/>
      <w:szCs w:val="26"/>
    </w:rPr>
  </w:style>
  <w:style w:type="paragraph" w:styleId="782">
    <w:name w:val="Heading 5"/>
    <w:basedOn w:val="952"/>
    <w:next w:val="952"/>
    <w:link w:val="78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83">
    <w:name w:val="Heading 5 Char"/>
    <w:link w:val="782"/>
    <w:uiPriority w:val="9"/>
    <w:rPr>
      <w:rFonts w:ascii="Arial" w:hAnsi="Arial" w:eastAsia="Arial" w:cs="Arial"/>
      <w:b/>
      <w:bCs/>
      <w:sz w:val="24"/>
      <w:szCs w:val="24"/>
    </w:rPr>
  </w:style>
  <w:style w:type="paragraph" w:styleId="784">
    <w:name w:val="Heading 6"/>
    <w:basedOn w:val="952"/>
    <w:next w:val="952"/>
    <w:link w:val="78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85">
    <w:name w:val="Heading 6 Char"/>
    <w:link w:val="784"/>
    <w:uiPriority w:val="9"/>
    <w:rPr>
      <w:rFonts w:ascii="Arial" w:hAnsi="Arial" w:eastAsia="Arial" w:cs="Arial"/>
      <w:b/>
      <w:bCs/>
      <w:sz w:val="22"/>
      <w:szCs w:val="22"/>
    </w:rPr>
  </w:style>
  <w:style w:type="paragraph" w:styleId="786">
    <w:name w:val="Heading 7"/>
    <w:basedOn w:val="952"/>
    <w:next w:val="952"/>
    <w:link w:val="78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87">
    <w:name w:val="Heading 7 Char"/>
    <w:link w:val="7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88">
    <w:name w:val="Heading 8"/>
    <w:basedOn w:val="952"/>
    <w:next w:val="952"/>
    <w:link w:val="78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89">
    <w:name w:val="Heading 8 Char"/>
    <w:link w:val="788"/>
    <w:uiPriority w:val="9"/>
    <w:rPr>
      <w:rFonts w:ascii="Arial" w:hAnsi="Arial" w:eastAsia="Arial" w:cs="Arial"/>
      <w:i/>
      <w:iCs/>
      <w:sz w:val="22"/>
      <w:szCs w:val="22"/>
    </w:rPr>
  </w:style>
  <w:style w:type="paragraph" w:styleId="790">
    <w:name w:val="Heading 9"/>
    <w:basedOn w:val="952"/>
    <w:next w:val="952"/>
    <w:link w:val="79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91">
    <w:name w:val="Heading 9 Char"/>
    <w:link w:val="790"/>
    <w:uiPriority w:val="9"/>
    <w:rPr>
      <w:rFonts w:ascii="Arial" w:hAnsi="Arial" w:eastAsia="Arial" w:cs="Arial"/>
      <w:i/>
      <w:iCs/>
      <w:sz w:val="21"/>
      <w:szCs w:val="21"/>
    </w:rPr>
  </w:style>
  <w:style w:type="paragraph" w:styleId="792">
    <w:name w:val="List Paragraph"/>
    <w:basedOn w:val="952"/>
    <w:uiPriority w:val="34"/>
    <w:qFormat/>
    <w:pPr>
      <w:contextualSpacing/>
      <w:ind w:left="720"/>
    </w:pPr>
  </w:style>
  <w:style w:type="paragraph" w:styleId="793">
    <w:name w:val="No Spacing"/>
    <w:uiPriority w:val="1"/>
    <w:qFormat/>
    <w:pPr>
      <w:spacing w:before="0" w:after="0" w:line="240" w:lineRule="auto"/>
    </w:pPr>
  </w:style>
  <w:style w:type="paragraph" w:styleId="794">
    <w:name w:val="Title"/>
    <w:basedOn w:val="952"/>
    <w:next w:val="952"/>
    <w:link w:val="79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95">
    <w:name w:val="Title Char"/>
    <w:link w:val="794"/>
    <w:uiPriority w:val="10"/>
    <w:rPr>
      <w:sz w:val="48"/>
      <w:szCs w:val="48"/>
    </w:rPr>
  </w:style>
  <w:style w:type="paragraph" w:styleId="796">
    <w:name w:val="Subtitle"/>
    <w:basedOn w:val="952"/>
    <w:next w:val="952"/>
    <w:link w:val="797"/>
    <w:uiPriority w:val="11"/>
    <w:qFormat/>
    <w:pPr>
      <w:spacing w:before="200" w:after="200"/>
    </w:pPr>
    <w:rPr>
      <w:sz w:val="24"/>
      <w:szCs w:val="24"/>
    </w:rPr>
  </w:style>
  <w:style w:type="character" w:styleId="797">
    <w:name w:val="Subtitle Char"/>
    <w:link w:val="796"/>
    <w:uiPriority w:val="11"/>
    <w:rPr>
      <w:sz w:val="24"/>
      <w:szCs w:val="24"/>
    </w:rPr>
  </w:style>
  <w:style w:type="paragraph" w:styleId="798">
    <w:name w:val="Quote"/>
    <w:basedOn w:val="952"/>
    <w:next w:val="952"/>
    <w:link w:val="799"/>
    <w:uiPriority w:val="29"/>
    <w:qFormat/>
    <w:pPr>
      <w:ind w:left="720" w:right="720"/>
    </w:pPr>
    <w:rPr>
      <w:i/>
    </w:rPr>
  </w:style>
  <w:style w:type="character" w:styleId="799">
    <w:name w:val="Quote Char"/>
    <w:link w:val="798"/>
    <w:uiPriority w:val="29"/>
    <w:rPr>
      <w:i/>
    </w:rPr>
  </w:style>
  <w:style w:type="paragraph" w:styleId="800">
    <w:name w:val="Intense Quote"/>
    <w:basedOn w:val="952"/>
    <w:next w:val="952"/>
    <w:link w:val="80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1">
    <w:name w:val="Intense Quote Char"/>
    <w:link w:val="800"/>
    <w:uiPriority w:val="30"/>
    <w:rPr>
      <w:i/>
    </w:rPr>
  </w:style>
  <w:style w:type="paragraph" w:styleId="802">
    <w:name w:val="Header"/>
    <w:basedOn w:val="952"/>
    <w:link w:val="80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03">
    <w:name w:val="Header Char"/>
    <w:link w:val="802"/>
    <w:uiPriority w:val="99"/>
  </w:style>
  <w:style w:type="paragraph" w:styleId="804">
    <w:name w:val="Footer"/>
    <w:basedOn w:val="952"/>
    <w:link w:val="80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05">
    <w:name w:val="Footer Char"/>
    <w:link w:val="804"/>
    <w:uiPriority w:val="99"/>
  </w:style>
  <w:style w:type="paragraph" w:styleId="806">
    <w:name w:val="Caption"/>
    <w:basedOn w:val="952"/>
    <w:next w:val="95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07">
    <w:name w:val="Caption Char"/>
    <w:basedOn w:val="806"/>
    <w:link w:val="804"/>
    <w:uiPriority w:val="99"/>
  </w:style>
  <w:style w:type="table" w:styleId="80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3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3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4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4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4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4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4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4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4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5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5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5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5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5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5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7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7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7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7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7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7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7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0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0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0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0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0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0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0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0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0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0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1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1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1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1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1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1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1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1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1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2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2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2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2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2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2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2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2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2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3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3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3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3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34">
    <w:name w:val="Hyperlink"/>
    <w:uiPriority w:val="99"/>
    <w:unhideWhenUsed/>
    <w:rPr>
      <w:color w:val="0000ff" w:themeColor="hyperlink"/>
      <w:u w:val="single"/>
    </w:rPr>
  </w:style>
  <w:style w:type="paragraph" w:styleId="935">
    <w:name w:val="footnote text"/>
    <w:basedOn w:val="952"/>
    <w:link w:val="936"/>
    <w:uiPriority w:val="99"/>
    <w:semiHidden/>
    <w:unhideWhenUsed/>
    <w:pPr>
      <w:spacing w:after="40" w:line="240" w:lineRule="auto"/>
    </w:pPr>
    <w:rPr>
      <w:sz w:val="18"/>
    </w:rPr>
  </w:style>
  <w:style w:type="character" w:styleId="936">
    <w:name w:val="Footnote Text Char"/>
    <w:link w:val="935"/>
    <w:uiPriority w:val="99"/>
    <w:rPr>
      <w:sz w:val="18"/>
    </w:rPr>
  </w:style>
  <w:style w:type="character" w:styleId="937">
    <w:name w:val="footnote reference"/>
    <w:uiPriority w:val="99"/>
    <w:unhideWhenUsed/>
    <w:rPr>
      <w:vertAlign w:val="superscript"/>
    </w:rPr>
  </w:style>
  <w:style w:type="paragraph" w:styleId="938">
    <w:name w:val="endnote text"/>
    <w:basedOn w:val="952"/>
    <w:link w:val="939"/>
    <w:uiPriority w:val="99"/>
    <w:semiHidden/>
    <w:unhideWhenUsed/>
    <w:pPr>
      <w:spacing w:after="0" w:line="240" w:lineRule="auto"/>
    </w:pPr>
    <w:rPr>
      <w:sz w:val="20"/>
    </w:rPr>
  </w:style>
  <w:style w:type="character" w:styleId="939">
    <w:name w:val="Endnote Text Char"/>
    <w:link w:val="938"/>
    <w:uiPriority w:val="99"/>
    <w:rPr>
      <w:sz w:val="20"/>
    </w:rPr>
  </w:style>
  <w:style w:type="character" w:styleId="940">
    <w:name w:val="endnote reference"/>
    <w:uiPriority w:val="99"/>
    <w:semiHidden/>
    <w:unhideWhenUsed/>
    <w:rPr>
      <w:vertAlign w:val="superscript"/>
    </w:rPr>
  </w:style>
  <w:style w:type="paragraph" w:styleId="941">
    <w:name w:val="toc 1"/>
    <w:basedOn w:val="952"/>
    <w:next w:val="952"/>
    <w:uiPriority w:val="39"/>
    <w:unhideWhenUsed/>
    <w:pPr>
      <w:ind w:left="0" w:right="0" w:firstLine="0"/>
      <w:spacing w:after="57"/>
    </w:pPr>
  </w:style>
  <w:style w:type="paragraph" w:styleId="942">
    <w:name w:val="toc 2"/>
    <w:basedOn w:val="952"/>
    <w:next w:val="952"/>
    <w:uiPriority w:val="39"/>
    <w:unhideWhenUsed/>
    <w:pPr>
      <w:ind w:left="283" w:right="0" w:firstLine="0"/>
      <w:spacing w:after="57"/>
    </w:pPr>
  </w:style>
  <w:style w:type="paragraph" w:styleId="943">
    <w:name w:val="toc 3"/>
    <w:basedOn w:val="952"/>
    <w:next w:val="952"/>
    <w:uiPriority w:val="39"/>
    <w:unhideWhenUsed/>
    <w:pPr>
      <w:ind w:left="567" w:right="0" w:firstLine="0"/>
      <w:spacing w:after="57"/>
    </w:pPr>
  </w:style>
  <w:style w:type="paragraph" w:styleId="944">
    <w:name w:val="toc 4"/>
    <w:basedOn w:val="952"/>
    <w:next w:val="952"/>
    <w:uiPriority w:val="39"/>
    <w:unhideWhenUsed/>
    <w:pPr>
      <w:ind w:left="850" w:right="0" w:firstLine="0"/>
      <w:spacing w:after="57"/>
    </w:pPr>
  </w:style>
  <w:style w:type="paragraph" w:styleId="945">
    <w:name w:val="toc 5"/>
    <w:basedOn w:val="952"/>
    <w:next w:val="952"/>
    <w:uiPriority w:val="39"/>
    <w:unhideWhenUsed/>
    <w:pPr>
      <w:ind w:left="1134" w:right="0" w:firstLine="0"/>
      <w:spacing w:after="57"/>
    </w:pPr>
  </w:style>
  <w:style w:type="paragraph" w:styleId="946">
    <w:name w:val="toc 6"/>
    <w:basedOn w:val="952"/>
    <w:next w:val="952"/>
    <w:uiPriority w:val="39"/>
    <w:unhideWhenUsed/>
    <w:pPr>
      <w:ind w:left="1417" w:right="0" w:firstLine="0"/>
      <w:spacing w:after="57"/>
    </w:pPr>
  </w:style>
  <w:style w:type="paragraph" w:styleId="947">
    <w:name w:val="toc 7"/>
    <w:basedOn w:val="952"/>
    <w:next w:val="952"/>
    <w:uiPriority w:val="39"/>
    <w:unhideWhenUsed/>
    <w:pPr>
      <w:ind w:left="1701" w:right="0" w:firstLine="0"/>
      <w:spacing w:after="57"/>
    </w:pPr>
  </w:style>
  <w:style w:type="paragraph" w:styleId="948">
    <w:name w:val="toc 8"/>
    <w:basedOn w:val="952"/>
    <w:next w:val="952"/>
    <w:uiPriority w:val="39"/>
    <w:unhideWhenUsed/>
    <w:pPr>
      <w:ind w:left="1984" w:right="0" w:firstLine="0"/>
      <w:spacing w:after="57"/>
    </w:pPr>
  </w:style>
  <w:style w:type="paragraph" w:styleId="949">
    <w:name w:val="toc 9"/>
    <w:basedOn w:val="952"/>
    <w:next w:val="952"/>
    <w:uiPriority w:val="39"/>
    <w:unhideWhenUsed/>
    <w:pPr>
      <w:ind w:left="2268" w:right="0" w:firstLine="0"/>
      <w:spacing w:after="57"/>
    </w:pPr>
  </w:style>
  <w:style w:type="paragraph" w:styleId="950">
    <w:name w:val="TOC Heading"/>
    <w:uiPriority w:val="39"/>
    <w:unhideWhenUsed/>
  </w:style>
  <w:style w:type="paragraph" w:styleId="951">
    <w:name w:val="table of figures"/>
    <w:basedOn w:val="952"/>
    <w:next w:val="952"/>
    <w:uiPriority w:val="99"/>
    <w:unhideWhenUsed/>
    <w:pPr>
      <w:spacing w:after="0" w:afterAutospacing="0"/>
    </w:pPr>
  </w:style>
  <w:style w:type="paragraph" w:styleId="952" w:default="1">
    <w:name w:val="Normal"/>
    <w:next w:val="952"/>
    <w:link w:val="952"/>
    <w:qFormat/>
    <w:rPr>
      <w:rFonts w:ascii="Times New Roman" w:hAnsi="Times New Roman" w:eastAsia="Times New Roman"/>
      <w:sz w:val="24"/>
      <w:szCs w:val="24"/>
      <w:lang w:val="ru-RU" w:eastAsia="ru-RU" w:bidi="ar-SA"/>
    </w:rPr>
  </w:style>
  <w:style w:type="paragraph" w:styleId="953">
    <w:name w:val="Заголовок 2"/>
    <w:basedOn w:val="952"/>
    <w:next w:val="952"/>
    <w:link w:val="959"/>
    <w:qFormat/>
    <w:pPr>
      <w:jc w:val="both"/>
      <w:keepNext/>
      <w:outlineLvl w:val="1"/>
    </w:pPr>
    <w:rPr>
      <w:sz w:val="24"/>
    </w:rPr>
  </w:style>
  <w:style w:type="paragraph" w:styleId="954">
    <w:name w:val="Заголовок 5"/>
    <w:basedOn w:val="952"/>
    <w:next w:val="952"/>
    <w:link w:val="960"/>
    <w:qFormat/>
    <w:pPr>
      <w:keepNext/>
      <w:outlineLvl w:val="4"/>
    </w:pPr>
    <w:rPr>
      <w:rFonts w:ascii="Times New Roman" w:hAnsi="Times New Roman"/>
      <w:b/>
      <w:bCs/>
      <w:sz w:val="24"/>
    </w:rPr>
  </w:style>
  <w:style w:type="paragraph" w:styleId="955">
    <w:name w:val="Заголовок 9"/>
    <w:basedOn w:val="952"/>
    <w:next w:val="952"/>
    <w:link w:val="961"/>
    <w:qFormat/>
    <w:pPr>
      <w:jc w:val="center"/>
      <w:keepNext/>
      <w:outlineLvl w:val="8"/>
    </w:pPr>
    <w:rPr>
      <w:rFonts w:ascii="Times New Roman" w:hAnsi="Times New Roman"/>
      <w:sz w:val="24"/>
    </w:rPr>
  </w:style>
  <w:style w:type="character" w:styleId="956">
    <w:name w:val="Основной шрифт абзаца"/>
    <w:next w:val="956"/>
    <w:link w:val="952"/>
    <w:uiPriority w:val="1"/>
    <w:semiHidden/>
    <w:unhideWhenUsed/>
  </w:style>
  <w:style w:type="table" w:styleId="957">
    <w:name w:val="Обычная таблица"/>
    <w:next w:val="957"/>
    <w:link w:val="952"/>
    <w:uiPriority w:val="99"/>
    <w:semiHidden/>
    <w:unhideWhenUsed/>
    <w:qFormat/>
    <w:tblPr/>
  </w:style>
  <w:style w:type="numbering" w:styleId="958">
    <w:name w:val="Нет списка"/>
    <w:next w:val="958"/>
    <w:link w:val="952"/>
    <w:uiPriority w:val="99"/>
    <w:semiHidden/>
    <w:unhideWhenUsed/>
  </w:style>
  <w:style w:type="character" w:styleId="959">
    <w:name w:val="Заголовок 2 Знак"/>
    <w:next w:val="959"/>
    <w:link w:val="953"/>
    <w:rPr>
      <w:rFonts w:ascii="Times New Roman CYR" w:hAnsi="Times New Roman CYR" w:eastAsia="Times New Roman" w:cs="Times New Roman"/>
      <w:sz w:val="24"/>
      <w:szCs w:val="20"/>
      <w:lang w:eastAsia="ru-RU"/>
    </w:rPr>
  </w:style>
  <w:style w:type="character" w:styleId="960">
    <w:name w:val="Заголовок 5 Знак"/>
    <w:next w:val="960"/>
    <w:link w:val="954"/>
    <w:rPr>
      <w:rFonts w:ascii="Times New Roman" w:hAnsi="Times New Roman" w:eastAsia="Times New Roman" w:cs="Times New Roman"/>
      <w:b/>
      <w:bCs/>
      <w:sz w:val="24"/>
      <w:szCs w:val="20"/>
      <w:lang w:eastAsia="ru-RU"/>
    </w:rPr>
  </w:style>
  <w:style w:type="character" w:styleId="961">
    <w:name w:val="Заголовок 9 Знак"/>
    <w:next w:val="961"/>
    <w:link w:val="955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962">
    <w:name w:val="Гиперссылка"/>
    <w:next w:val="962"/>
    <w:link w:val="952"/>
    <w:rPr>
      <w:color w:val="0000ff"/>
      <w:u w:val="single"/>
    </w:rPr>
  </w:style>
  <w:style w:type="paragraph" w:styleId="963">
    <w:name w:val="Нижний колонтитул"/>
    <w:basedOn w:val="952"/>
    <w:next w:val="963"/>
    <w:link w:val="964"/>
    <w:uiPriority w:val="99"/>
    <w:pPr>
      <w:tabs>
        <w:tab w:val="center" w:pos="4677" w:leader="none"/>
        <w:tab w:val="right" w:pos="9355" w:leader="none"/>
      </w:tabs>
    </w:pPr>
  </w:style>
  <w:style w:type="character" w:styleId="964">
    <w:name w:val="Нижний колонтитул Знак"/>
    <w:next w:val="964"/>
    <w:link w:val="963"/>
    <w:uiPriority w:val="99"/>
    <w:rPr>
      <w:rFonts w:ascii="Times New Roman CYR" w:hAnsi="Times New Roman CYR" w:eastAsia="Times New Roman" w:cs="Times New Roman"/>
      <w:sz w:val="20"/>
      <w:szCs w:val="20"/>
      <w:lang w:eastAsia="ru-RU"/>
    </w:rPr>
  </w:style>
  <w:style w:type="paragraph" w:styleId="965">
    <w:name w:val="Основной текст,Основной текст таблиц,в таблице,таблицы,в таблицах, в таблице, в таблицах"/>
    <w:basedOn w:val="952"/>
    <w:next w:val="965"/>
    <w:link w:val="966"/>
    <w:pPr>
      <w:ind w:right="4961"/>
      <w:tabs>
        <w:tab w:val="left" w:pos="4536" w:leader="none"/>
      </w:tabs>
    </w:pPr>
    <w:rPr>
      <w:sz w:val="24"/>
    </w:rPr>
  </w:style>
  <w:style w:type="character" w:styleId="966">
    <w:name w:val="Основной текст Знак,Основной текст таблиц Знак,в таблице Знак,таблицы Знак,в таблицах Знак, в таблице Знак, в таблицах Знак"/>
    <w:next w:val="966"/>
    <w:link w:val="965"/>
    <w:rPr>
      <w:rFonts w:ascii="Times New Roman CYR" w:hAnsi="Times New Roman CYR" w:eastAsia="Times New Roman" w:cs="Times New Roman"/>
      <w:sz w:val="24"/>
      <w:szCs w:val="20"/>
      <w:lang w:eastAsia="ru-RU"/>
    </w:rPr>
  </w:style>
  <w:style w:type="paragraph" w:styleId="967">
    <w:name w:val="Пункт"/>
    <w:basedOn w:val="952"/>
    <w:next w:val="967"/>
    <w:link w:val="968"/>
    <w:pPr>
      <w:ind w:left="1134" w:hanging="1134"/>
      <w:jc w:val="both"/>
      <w:spacing w:line="360" w:lineRule="auto"/>
      <w:tabs>
        <w:tab w:val="num" w:pos="1134" w:leader="none"/>
      </w:tabs>
    </w:pPr>
    <w:rPr>
      <w:rFonts w:ascii="Times New Roman" w:hAnsi="Times New Roman"/>
      <w:sz w:val="28"/>
    </w:rPr>
  </w:style>
  <w:style w:type="character" w:styleId="968">
    <w:name w:val="Пункт Знак1"/>
    <w:next w:val="968"/>
    <w:link w:val="967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969">
    <w:name w:val="Абзац списка,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952"/>
    <w:next w:val="969"/>
    <w:link w:val="988"/>
    <w:qFormat/>
    <w:pPr>
      <w:contextualSpacing/>
      <w:ind w:left="720"/>
    </w:pPr>
  </w:style>
  <w:style w:type="paragraph" w:styleId="970">
    <w:name w:val="Текст выноски"/>
    <w:basedOn w:val="952"/>
    <w:next w:val="970"/>
    <w:link w:val="971"/>
    <w:semiHidden/>
    <w:rPr>
      <w:rFonts w:ascii="Tahoma" w:hAnsi="Tahoma" w:cs="Tahoma"/>
      <w:sz w:val="16"/>
      <w:szCs w:val="16"/>
    </w:rPr>
  </w:style>
  <w:style w:type="character" w:styleId="971">
    <w:name w:val="Текст выноски Знак"/>
    <w:next w:val="971"/>
    <w:link w:val="970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972">
    <w:name w:val="Стиль Основной текст с отступом + 12 пт По ширине Слева:  0 см П..."/>
    <w:basedOn w:val="952"/>
    <w:next w:val="972"/>
    <w:link w:val="952"/>
    <w:pPr>
      <w:ind w:left="283"/>
      <w:spacing w:after="120"/>
    </w:pPr>
  </w:style>
  <w:style w:type="paragraph" w:styleId="973">
    <w:name w:val="Основной текст с отступом"/>
    <w:basedOn w:val="952"/>
    <w:next w:val="973"/>
    <w:link w:val="974"/>
    <w:uiPriority w:val="99"/>
    <w:unhideWhenUsed/>
    <w:pPr>
      <w:ind w:left="283"/>
      <w:spacing w:after="120"/>
    </w:pPr>
  </w:style>
  <w:style w:type="character" w:styleId="974">
    <w:name w:val="Основной текст с отступом Знак"/>
    <w:next w:val="974"/>
    <w:link w:val="973"/>
    <w:uiPriority w:val="99"/>
    <w:rPr>
      <w:rFonts w:ascii="Times New Roman CYR" w:hAnsi="Times New Roman CYR" w:eastAsia="Times New Roman" w:cs="Times New Roman"/>
      <w:sz w:val="20"/>
      <w:szCs w:val="20"/>
      <w:lang w:eastAsia="ru-RU"/>
    </w:rPr>
  </w:style>
  <w:style w:type="paragraph" w:styleId="975">
    <w:name w:val="Название"/>
    <w:basedOn w:val="952"/>
    <w:next w:val="975"/>
    <w:link w:val="976"/>
    <w:qFormat/>
    <w:pPr>
      <w:jc w:val="center"/>
    </w:pPr>
    <w:rPr>
      <w:rFonts w:ascii="Times New Roman" w:hAnsi="Times New Roman"/>
      <w:b/>
      <w:sz w:val="22"/>
    </w:rPr>
  </w:style>
  <w:style w:type="character" w:styleId="976">
    <w:name w:val="Название Знак"/>
    <w:next w:val="976"/>
    <w:link w:val="975"/>
    <w:rPr>
      <w:rFonts w:ascii="Times New Roman" w:hAnsi="Times New Roman" w:eastAsia="Times New Roman" w:cs="Times New Roman"/>
      <w:b/>
      <w:szCs w:val="20"/>
      <w:lang w:eastAsia="ru-RU"/>
    </w:rPr>
  </w:style>
  <w:style w:type="paragraph" w:styleId="977">
    <w:name w:val="Обычный2"/>
    <w:next w:val="977"/>
    <w:link w:val="952"/>
    <w:pPr>
      <w:spacing w:before="100" w:after="100"/>
    </w:pPr>
    <w:rPr>
      <w:rFonts w:ascii="Times New Roman" w:hAnsi="Times New Roman" w:eastAsia="Times New Roman"/>
      <w:sz w:val="24"/>
      <w:lang w:val="ru-RU" w:eastAsia="ru-RU" w:bidi="ar-SA"/>
    </w:rPr>
  </w:style>
  <w:style w:type="character" w:styleId="978">
    <w:name w:val="bold1"/>
    <w:next w:val="978"/>
    <w:link w:val="952"/>
    <w:rPr>
      <w:b/>
      <w:bCs/>
    </w:rPr>
  </w:style>
  <w:style w:type="paragraph" w:styleId="979">
    <w:name w:val="Верхний колонтитул"/>
    <w:basedOn w:val="952"/>
    <w:next w:val="979"/>
    <w:link w:val="980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80">
    <w:name w:val="Верхний колонтитул Знак"/>
    <w:next w:val="980"/>
    <w:link w:val="979"/>
    <w:uiPriority w:val="99"/>
    <w:rPr>
      <w:rFonts w:ascii="Times New Roman CYR" w:hAnsi="Times New Roman CYR" w:eastAsia="Times New Roman" w:cs="Times New Roman"/>
      <w:sz w:val="20"/>
      <w:szCs w:val="20"/>
      <w:lang w:eastAsia="ru-RU"/>
    </w:rPr>
  </w:style>
  <w:style w:type="character" w:styleId="981">
    <w:name w:val="Основной текст1"/>
    <w:next w:val="981"/>
    <w:link w:val="952"/>
    <w:rPr>
      <w:rFonts w:ascii="Times New Roman" w:hAnsi="Times New Roman" w:eastAsia="Times New Roman" w:cs="Times New Roman"/>
      <w:color w:val="000000"/>
      <w:spacing w:val="0"/>
      <w:position w:val="0"/>
      <w:sz w:val="18"/>
      <w:szCs w:val="18"/>
      <w:u w:val="none"/>
      <w:shd w:val="clear" w:color="auto" w:fill="ffffff"/>
      <w:lang w:val="ru-RU"/>
    </w:rPr>
  </w:style>
  <w:style w:type="character" w:styleId="982">
    <w:name w:val="Основной текст_"/>
    <w:next w:val="982"/>
    <w:link w:val="983"/>
    <w:rPr>
      <w:rFonts w:ascii="Times New Roman" w:hAnsi="Times New Roman" w:eastAsia="Times New Roman"/>
      <w:sz w:val="18"/>
      <w:szCs w:val="18"/>
      <w:shd w:val="clear" w:color="auto" w:fill="ffffff"/>
    </w:rPr>
  </w:style>
  <w:style w:type="paragraph" w:styleId="983">
    <w:name w:val="Основной текст2"/>
    <w:basedOn w:val="952"/>
    <w:next w:val="983"/>
    <w:link w:val="982"/>
    <w:pPr>
      <w:ind w:firstLine="2280"/>
      <w:spacing w:after="240" w:line="235" w:lineRule="exact"/>
      <w:shd w:val="clear" w:color="auto" w:fill="ffffff"/>
      <w:widowControl w:val="off"/>
    </w:pPr>
    <w:rPr>
      <w:rFonts w:ascii="Times New Roman" w:hAnsi="Times New Roman"/>
      <w:sz w:val="18"/>
      <w:szCs w:val="18"/>
    </w:rPr>
  </w:style>
  <w:style w:type="character" w:styleId="984">
    <w:name w:val="комментарий"/>
    <w:next w:val="984"/>
    <w:link w:val="952"/>
    <w:uiPriority w:val="99"/>
    <w:rPr>
      <w:b/>
      <w:i/>
      <w:shd w:val="clear" w:color="auto" w:fill="ffff99"/>
    </w:rPr>
  </w:style>
  <w:style w:type="character" w:styleId="985">
    <w:name w:val="Строгий"/>
    <w:next w:val="985"/>
    <w:link w:val="952"/>
    <w:uiPriority w:val="22"/>
    <w:qFormat/>
    <w:rPr>
      <w:rFonts w:cs="Times New Roman"/>
      <w:b/>
    </w:rPr>
  </w:style>
  <w:style w:type="paragraph" w:styleId="986">
    <w:name w:val="Без интервала"/>
    <w:next w:val="986"/>
    <w:link w:val="952"/>
    <w:uiPriority w:val="1"/>
    <w:qFormat/>
    <w:rPr>
      <w:sz w:val="22"/>
      <w:szCs w:val="22"/>
      <w:lang w:val="ru-RU" w:eastAsia="en-US" w:bidi="ar-SA"/>
    </w:rPr>
  </w:style>
  <w:style w:type="paragraph" w:styleId="987">
    <w:name w:val="Подпункт"/>
    <w:basedOn w:val="952"/>
    <w:next w:val="987"/>
    <w:link w:val="952"/>
    <w:pPr>
      <w:numPr>
        <w:ilvl w:val="3"/>
        <w:numId w:val="3"/>
      </w:numPr>
      <w:jc w:val="both"/>
      <w:spacing w:line="360" w:lineRule="auto"/>
    </w:pPr>
    <w:rPr>
      <w:rFonts w:ascii="Times New Roman" w:hAnsi="Times New Roman"/>
      <w:sz w:val="28"/>
    </w:rPr>
  </w:style>
  <w:style w:type="character" w:styleId="988">
    <w:name w:val="Абзац списка Знак,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next w:val="988"/>
    <w:link w:val="969"/>
    <w:qFormat/>
    <w:rPr>
      <w:rFonts w:ascii="Times New Roman CYR" w:hAnsi="Times New Roman CYR" w:eastAsia="Times New Roman"/>
    </w:rPr>
  </w:style>
  <w:style w:type="paragraph" w:styleId="989">
    <w:name w:val="Обычный3"/>
    <w:next w:val="989"/>
    <w:link w:val="952"/>
    <w:pPr>
      <w:spacing w:before="100" w:after="100"/>
    </w:pPr>
    <w:rPr>
      <w:rFonts w:ascii="Times New Roman" w:hAnsi="Times New Roman" w:eastAsia="Times New Roman"/>
      <w:sz w:val="24"/>
      <w:lang w:val="ru-RU" w:eastAsia="ru-RU" w:bidi="ar-SA"/>
    </w:rPr>
  </w:style>
  <w:style w:type="table" w:styleId="990">
    <w:name w:val="Сетка таблицы"/>
    <w:basedOn w:val="957"/>
    <w:next w:val="990"/>
    <w:link w:val="952"/>
    <w:uiPriority w:val="59"/>
    <w:rPr>
      <w:rFonts w:ascii="Calibri" w:hAnsi="Calibri" w:eastAsia="Calibri" w:cs="Times New Roman"/>
      <w:sz w:val="22"/>
      <w:szCs w:val="22"/>
      <w:lang w:eastAsia="en-US"/>
    </w:rPr>
    <w:tblPr/>
  </w:style>
  <w:style w:type="character" w:styleId="991" w:default="1">
    <w:name w:val="Default Paragraph Font"/>
    <w:uiPriority w:val="1"/>
    <w:semiHidden/>
    <w:unhideWhenUsed/>
  </w:style>
  <w:style w:type="numbering" w:styleId="992" w:default="1">
    <w:name w:val="No List"/>
    <w:uiPriority w:val="99"/>
    <w:semiHidden/>
    <w:unhideWhenUsed/>
  </w:style>
  <w:style w:type="table" w:styleId="99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>LE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DIT</dc:creator>
  <cp:revision>942</cp:revision>
  <dcterms:created xsi:type="dcterms:W3CDTF">2017-03-16T09:25:00Z</dcterms:created>
  <dcterms:modified xsi:type="dcterms:W3CDTF">2025-05-29T12:27:51Z</dcterms:modified>
  <cp:version>1048576</cp:version>
</cp:coreProperties>
</file>